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17" w:rsidRDefault="00E75955" w:rsidP="00687CB9">
      <w:pPr>
        <w:jc w:val="center"/>
      </w:pPr>
      <w:r>
        <w:rPr>
          <w:noProof/>
          <w:lang w:eastAsia="it-IT"/>
        </w:rPr>
        <w:drawing>
          <wp:inline distT="0" distB="0" distL="0" distR="0">
            <wp:extent cx="3070860" cy="3063240"/>
            <wp:effectExtent l="0" t="0" r="0" b="3810"/>
            <wp:docPr id="1" name="Immagine 1" descr="C:\Users\DI PISA\Desktop\QU007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 PISA\Desktop\QU0070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1498" cy="3063876"/>
                    </a:xfrm>
                    <a:prstGeom prst="rect">
                      <a:avLst/>
                    </a:prstGeom>
                    <a:noFill/>
                    <a:ln>
                      <a:noFill/>
                    </a:ln>
                  </pic:spPr>
                </pic:pic>
              </a:graphicData>
            </a:graphic>
          </wp:inline>
        </w:drawing>
      </w:r>
    </w:p>
    <w:p w:rsidR="00E75955" w:rsidRPr="0051392C" w:rsidRDefault="00E75955" w:rsidP="00E75955">
      <w:pPr>
        <w:jc w:val="center"/>
        <w:rPr>
          <w:color w:val="E36C0A" w:themeColor="accent6" w:themeShade="BF"/>
          <w:sz w:val="44"/>
          <w:szCs w:val="44"/>
        </w:rPr>
      </w:pPr>
      <w:r w:rsidRPr="0051392C">
        <w:rPr>
          <w:color w:val="E36C0A" w:themeColor="accent6" w:themeShade="BF"/>
          <w:sz w:val="44"/>
          <w:szCs w:val="44"/>
        </w:rPr>
        <w:t>STATUTO DELL’ASSOCIAZIONE</w:t>
      </w:r>
    </w:p>
    <w:p w:rsidR="00E75955" w:rsidRPr="0051392C" w:rsidRDefault="00E75955" w:rsidP="00E75955">
      <w:pPr>
        <w:jc w:val="center"/>
        <w:rPr>
          <w:b/>
          <w:color w:val="0070C0"/>
          <w:sz w:val="56"/>
          <w:szCs w:val="56"/>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rPr>
      </w:pPr>
      <w:r w:rsidRPr="0051392C">
        <w:rPr>
          <w:b/>
          <w:color w:val="0070C0"/>
          <w:sz w:val="56"/>
          <w:szCs w:val="56"/>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rPr>
        <w:t xml:space="preserve">“ GESU’ </w:t>
      </w:r>
      <w:r w:rsidR="00687CB9">
        <w:rPr>
          <w:b/>
          <w:color w:val="0070C0"/>
          <w:sz w:val="56"/>
          <w:szCs w:val="56"/>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rPr>
        <w:t xml:space="preserve">CONFIDO IN TE </w:t>
      </w:r>
      <w:r w:rsidRPr="0051392C">
        <w:rPr>
          <w:b/>
          <w:color w:val="0070C0"/>
          <w:sz w:val="56"/>
          <w:szCs w:val="56"/>
          <w14:shadow w14:blurRad="50800" w14:dist="38100" w14:dir="2700000" w14:sx="100000" w14:sy="100000" w14:kx="0" w14:ky="0" w14:algn="tl">
            <w14:srgbClr w14:val="000000">
              <w14:alpha w14:val="60000"/>
            </w14:srgbClr>
          </w14:shadow>
          <w14:reflection w14:blurRad="6350" w14:stA="55000" w14:stPos="0" w14:endA="300" w14:endPos="45500" w14:dist="0" w14:dir="5400000" w14:fadeDir="5400000" w14:sx="100000" w14:sy="-100000" w14:kx="0" w14:ky="0" w14:algn="bl"/>
        </w:rPr>
        <w:t>”</w:t>
      </w:r>
    </w:p>
    <w:p w:rsidR="00E75955" w:rsidRPr="00687CB9" w:rsidRDefault="008414D0" w:rsidP="008414D0">
      <w:pPr>
        <w:jc w:val="center"/>
        <w:rPr>
          <w:color w:val="E36C0A" w:themeColor="accent6" w:themeShade="BF"/>
          <w:sz w:val="32"/>
          <w:szCs w:val="32"/>
        </w:rPr>
      </w:pPr>
      <w:r w:rsidRPr="00687CB9">
        <w:rPr>
          <w:color w:val="E36C0A" w:themeColor="accent6" w:themeShade="BF"/>
          <w:sz w:val="32"/>
          <w:szCs w:val="32"/>
        </w:rPr>
        <w:t>ORGANIZZAZIONE NON LUCRATIVA DI UTILITA’ SOCIALE</w:t>
      </w:r>
      <w:r w:rsidR="00687CB9">
        <w:rPr>
          <w:color w:val="E36C0A" w:themeColor="accent6" w:themeShade="BF"/>
          <w:sz w:val="32"/>
          <w:szCs w:val="32"/>
        </w:rPr>
        <w:t xml:space="preserve"> - </w:t>
      </w:r>
      <w:r w:rsidRPr="00687CB9">
        <w:rPr>
          <w:color w:val="E36C0A" w:themeColor="accent6" w:themeShade="BF"/>
          <w:sz w:val="32"/>
          <w:szCs w:val="32"/>
        </w:rPr>
        <w:t>ONLUS</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Denominazione e sede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xml:space="preserve">Art. 1) E’ costituita l’Associazione denominata “ GESU’ </w:t>
      </w:r>
      <w:r w:rsidR="00D82E86">
        <w:rPr>
          <w:rFonts w:ascii="Arial" w:hAnsi="Arial" w:cs="Arial"/>
          <w:color w:val="002060"/>
          <w:sz w:val="24"/>
          <w:szCs w:val="24"/>
        </w:rPr>
        <w:t xml:space="preserve">CONFIDO IN TE </w:t>
      </w:r>
      <w:r w:rsidRPr="005E0812">
        <w:rPr>
          <w:rFonts w:ascii="Arial" w:hAnsi="Arial" w:cs="Arial"/>
          <w:color w:val="002060"/>
          <w:sz w:val="24"/>
          <w:szCs w:val="24"/>
        </w:rPr>
        <w:t xml:space="preserve"> – ONLUS”, ai sensi del Decreto Legislativo 4 dicembre 1997 n.460.</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L’Associazione assume nella propria denominazione la qualifica di ONLUS (Organizzazione Non Lucrativa di Attività Sociale), che ne costituisce peculiare segno distintivo e che, quindi, verrà inserita nelle comunicazioni rivolte al pubblico ed in qualsiasi segno distintivo che l’Associazione intenderà adottare, a condizione che l’associazione ottenga l’iscrizione in anagrafe ONLUS.</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xml:space="preserve">Art. 2) L’Associazione ha sede in Pisticci via Principe di Piemonte n. 2 , </w:t>
      </w:r>
      <w:proofErr w:type="spellStart"/>
      <w:r w:rsidRPr="005E0812">
        <w:rPr>
          <w:rFonts w:ascii="Arial" w:hAnsi="Arial" w:cs="Arial"/>
          <w:color w:val="002060"/>
          <w:sz w:val="24"/>
          <w:szCs w:val="24"/>
        </w:rPr>
        <w:t>cap</w:t>
      </w:r>
      <w:proofErr w:type="spellEnd"/>
      <w:r w:rsidRPr="005E0812">
        <w:rPr>
          <w:rFonts w:ascii="Arial" w:hAnsi="Arial" w:cs="Arial"/>
          <w:color w:val="002060"/>
          <w:sz w:val="24"/>
          <w:szCs w:val="24"/>
        </w:rPr>
        <w:t xml:space="preserve"> 75015, provincia di Matera. La variazione di sede legale non comporta modifica statutaria ma l’obbligo di darne comunicazione agli uffici competenti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Finalità</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xml:space="preserve">Art. 3) L’Associazione è apartitica, non persegue scopi di lucro perseguendo in modo esclusivo finalità di solidarietà sociale, e vieta la distribuzione, anche in forma indiretta, di utili o avanzi di gestione nonché di fondi, riserve o capitale durante la vita dell’Associazione stessa, salvo che la destinazione o la distribuzione non siano imposte dalla legge o effettuate a favore di altre ONLUS che per legge, statuto o regolamento </w:t>
      </w:r>
      <w:r w:rsidRPr="005E0812">
        <w:rPr>
          <w:rFonts w:ascii="Arial" w:hAnsi="Arial" w:cs="Arial"/>
          <w:color w:val="002060"/>
          <w:sz w:val="24"/>
          <w:szCs w:val="24"/>
        </w:rPr>
        <w:lastRenderedPageBreak/>
        <w:t>fanno parte della medesima struttura unitaria. Gli utili o gli avanzi di gestione sono impiegati esclusivamente per la realizzazione delle attività istituzionali e di quelle ad esse direttamente connesse.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4) L’Associazione persegue esclusivamente finalità di solidarietà sociale. Essa intende operare nel  settore degli aiuti, morali e materiali,  alle persone più povere e bisognose , sia italiane che straniere, seguendo il messaggio evangelico di carità e misericordia, nonché nella formazione delle persone, a livello cristiano, culturale, professionale, civico ed ambientale, svolgendo le seguenti attività primarie: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attività di beneficenza per il sostegno economico diretto alle famiglie  indigenti, fornendo gratuitamente sia beni di prima necessità sia piccole somme di danaro, sia indirettamente sostenendo economicamente altre ONLUS.</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xml:space="preserve">• attività di cooperazione allo sviluppo e solidarietà internazionale  ai sensi e per gli effetti dell’art. 26 comma 2 della legge 11 agosto 2014 n. 125 “ disciplina generale sulla cooperazione internazionale per lo sviluppo “; con realizzazione  in proprio e/o in partenariato con altri enti pubblici e privati, altre associazioni </w:t>
      </w:r>
      <w:proofErr w:type="spellStart"/>
      <w:r w:rsidRPr="005E0812">
        <w:rPr>
          <w:rFonts w:ascii="Arial" w:hAnsi="Arial" w:cs="Arial"/>
          <w:color w:val="002060"/>
          <w:sz w:val="24"/>
          <w:szCs w:val="24"/>
        </w:rPr>
        <w:t>onlus</w:t>
      </w:r>
      <w:proofErr w:type="spellEnd"/>
      <w:r w:rsidRPr="005E0812">
        <w:rPr>
          <w:rFonts w:ascii="Arial" w:hAnsi="Arial" w:cs="Arial"/>
          <w:color w:val="002060"/>
          <w:sz w:val="24"/>
          <w:szCs w:val="24"/>
        </w:rPr>
        <w:t xml:space="preserve">  o missioni cristiane all’estero, preferibilmente in Africa o comunque in altri luoghi estremamente disagiati, attività ed opere , sempre non lucrative, finalizzate all’aiuto materiale, morale e culturale, ai più poveri dei poveri, con distribuzione di beni di prima necessità , generi alimentari, medicinali di sopravvivenza, strumenti per la potabilizzazione dell’acqua e quant’altro necessario, formazione delle persone per sviluppare abitudini alimentari, igieniche e sanitarie corrette, creazione di strutture di scuola per l’infanzia , scuola primaria e secondaria, strutture di soccorso sanitario et </w:t>
      </w:r>
      <w:proofErr w:type="spellStart"/>
      <w:r w:rsidRPr="005E0812">
        <w:rPr>
          <w:rFonts w:ascii="Arial" w:hAnsi="Arial" w:cs="Arial"/>
          <w:color w:val="002060"/>
          <w:sz w:val="24"/>
          <w:szCs w:val="24"/>
        </w:rPr>
        <w:t>similia</w:t>
      </w:r>
      <w:proofErr w:type="spellEnd"/>
      <w:r w:rsidRPr="005E0812">
        <w:rPr>
          <w:rFonts w:ascii="Arial" w:hAnsi="Arial" w:cs="Arial"/>
          <w:color w:val="002060"/>
          <w:sz w:val="24"/>
          <w:szCs w:val="24"/>
        </w:rPr>
        <w:t xml:space="preserve"> ;  </w:t>
      </w:r>
    </w:p>
    <w:p w:rsidR="00E75955" w:rsidRDefault="00BB49AC" w:rsidP="008414D0">
      <w:pPr>
        <w:jc w:val="both"/>
        <w:rPr>
          <w:rFonts w:ascii="Arial" w:hAnsi="Arial" w:cs="Arial"/>
          <w:color w:val="002060"/>
          <w:sz w:val="24"/>
          <w:szCs w:val="24"/>
        </w:rPr>
      </w:pPr>
      <w:r w:rsidRPr="00EE7C8E">
        <w:rPr>
          <w:rFonts w:ascii="Arial" w:hAnsi="Arial" w:cs="Arial"/>
          <w:sz w:val="24"/>
          <w:szCs w:val="24"/>
        </w:rPr>
        <w:t xml:space="preserve">L’associazione non potrà svolgere attività diverse da quelle indicate  all’art. 10 comma 1 lettera a)  D. </w:t>
      </w:r>
      <w:proofErr w:type="spellStart"/>
      <w:r w:rsidRPr="00EE7C8E">
        <w:rPr>
          <w:rFonts w:ascii="Arial" w:hAnsi="Arial" w:cs="Arial"/>
          <w:sz w:val="24"/>
          <w:szCs w:val="24"/>
        </w:rPr>
        <w:t>Lgs</w:t>
      </w:r>
      <w:proofErr w:type="spellEnd"/>
      <w:r w:rsidRPr="00EE7C8E">
        <w:rPr>
          <w:rFonts w:ascii="Arial" w:hAnsi="Arial" w:cs="Arial"/>
          <w:sz w:val="24"/>
          <w:szCs w:val="24"/>
        </w:rPr>
        <w:t xml:space="preserve"> 460/1997, perseguendo esclusivamente finalità di solidarietà sociale .</w:t>
      </w:r>
      <w:r w:rsidR="007C13C0">
        <w:rPr>
          <w:rFonts w:ascii="Arial" w:hAnsi="Arial" w:cs="Arial"/>
          <w:color w:val="002060"/>
          <w:sz w:val="24"/>
          <w:szCs w:val="24"/>
        </w:rPr>
        <w:t>L’Associazione</w:t>
      </w:r>
      <w:r w:rsidR="00E75955" w:rsidRPr="005E0812">
        <w:rPr>
          <w:rFonts w:ascii="Arial" w:hAnsi="Arial" w:cs="Arial"/>
          <w:color w:val="002060"/>
          <w:sz w:val="24"/>
          <w:szCs w:val="24"/>
        </w:rPr>
        <w:t xml:space="preserve"> potrà svolgere attività accessorie che si considerano integrative e funzionali allo sviluppo dell’attività istituzionale di solidarietà sociale, nei limiti consentiti dal D. </w:t>
      </w:r>
      <w:proofErr w:type="spellStart"/>
      <w:r w:rsidR="00E75955" w:rsidRPr="005E0812">
        <w:rPr>
          <w:rFonts w:ascii="Arial" w:hAnsi="Arial" w:cs="Arial"/>
          <w:color w:val="002060"/>
          <w:sz w:val="24"/>
          <w:szCs w:val="24"/>
        </w:rPr>
        <w:t>Lgs</w:t>
      </w:r>
      <w:proofErr w:type="spellEnd"/>
      <w:r w:rsidR="00E75955" w:rsidRPr="005E0812">
        <w:rPr>
          <w:rFonts w:ascii="Arial" w:hAnsi="Arial" w:cs="Arial"/>
          <w:color w:val="002060"/>
          <w:sz w:val="24"/>
          <w:szCs w:val="24"/>
        </w:rPr>
        <w:t>. 4 dicembre 1997, n. 460 e successive modificazioni ed integrazioni.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Durata</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5) La durata dell’Associazione è illimitata e la stessa potrà essere sciolta solo con delibera dell’Assemblea Straordinaria degli Associati.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Soci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6) Possono essere soci dell’Associazione tutti coloro (senza alcuna distinzione di sesso, razza, idee e religione) che, condividendone lo spirito e gli ideali, intendono impegnarsi personalmente per il raggiungimento delle finalità previste dal presente Statuto. Il rapporto associativo e le modalità associative sono volte a garantire l’effettività del rapporto medesimo; pertanto la partecipazione alla vita associativa non potrà essere temporanea. Le organizzazioni pubbliche e/o private partecipano nella persona di un loro rappresentante.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lastRenderedPageBreak/>
        <w:t>Art. 7) L’ammissione all’Associazione è deliberata dal Consiglio Direttivo su richiesta dell’aspirante socio, che nella domanda di ammissione dovrà specificare le sue generalità e quant’altro necessario ed impegnarsi a versare la quota associativa, che è intrasmissibile. Le domande di ammissione a socio presentate da minorenni dovranno essere controfirmate dall’esercente la patria potestà. Il genitore che sottoscrive la domanda rappresenta il minore a tutti gli effetti nei confronti dell’Associazione e risponde verso la stessa per tutte le obbligazioni dell’associato minorenne.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8 ) Tutti i soci hanno diritto di: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•partecipare a tutte le attività promosse dall’Associazione;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•partecipare alla vita associativa, esprimendo il proprio voto nelle sedi deputate, anche per l’approvazione e le modificazioni dello Statuto e di eventuali regolamenti;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•godere dell’elettorato attivo e passivo per la nomina degli Organi Direttivi dell’Associazione.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I soci minorenni non hanno diritto di voto attivo e passivo, come meglio specificato nell’art. 16 del presente Statuto.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9) Gli associati hanno l’obbligo di osservare lo Statuto, di rispettare le decisioni degli Organi dell’Associazione e di corrispondere le quote associative. Tali quote non sono trasmissibili né rivalutabili.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xml:space="preserve">Art. 10) La qualifica di socio non è temporanea e si perde per dimissioni volontarie, espulsione, decesso. Le dimissioni da socio devono essere presentate per iscritto al Consiglio Direttivo. L’espulsione è prevista quando il socio non ottemperi alle disposizioni del presente Statuto e di eventuali regolamenti, si renda moroso o ponga in essere comportamenti che provocano danni materiali o all’immagine dell’Associazione. L’espulsione è deliberata dall’assemblea con voto segreto e dopo aver ascoltato le giustificazioni dell’interessato. </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11) La perdita, per qualsiasi caso, della qualità di socio non dà diritto alla restituzione di quanto versato all’Associazione.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12) Il decesso del socio non conferisce agli eredi alcun diritto nell’ambito associativo.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Assemblea dei Soci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13) Gli Organi dell’Associazione sono: l’Assemblea dei Soci, il Consiglio Direttivo e il Presidente.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14) L’Assemblea dei Soci è l’organo sovrano dell’Associazione; è composta da tutti i soci per i quali sussiste tale qualifica al momento della convocazione e può essere ordinaria o straordinaria.</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xml:space="preserve">Art. 15) L’Assemblea è convocata dal Presidente almeno una volta l’anno entro quattro mesi dalla chiusura dell’esercizio sociale per l’approvazione del bilancio e, comunque, </w:t>
      </w:r>
      <w:r w:rsidRPr="005E0812">
        <w:rPr>
          <w:rFonts w:ascii="Arial" w:hAnsi="Arial" w:cs="Arial"/>
          <w:color w:val="002060"/>
          <w:sz w:val="24"/>
          <w:szCs w:val="24"/>
        </w:rPr>
        <w:lastRenderedPageBreak/>
        <w:t>ogni volta che il Consiglio Direttivo lo ritenga opportuno, ovvero quando venga fatta richiesta da almeno 1\3 dei soci, purché in regola con i versamenti delle quote associative.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La convocazione dell’Assemblea deve essere effettuata almeno 10 giorni prima della data della riunione mediante invio e-mail o lettera cartacea e affissione dell’avviso in maniera ben visibile nei locali in cui vengono svolte le attività associative. L’avviso di convocazione deve contenere il giorno, l’ora ed il luogo della prima e della seconda convocazione, nonché l’ordine del giorno.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xml:space="preserve">Art. 16) Possono intervenire all’Assemblea (ordinaria o straordinaria), con diritto di voto, tutti i soci maggiorenni purché in regola con il pagamento delle quote associative; a ciascun socio spetta un solo voto. I soci minorenni e coloro che ne esercitano la potestà genitoriale o la tutela hanno diritto di ricevere la convocazione dell’Assemblea e di potervi assistere, ma non hanno diritto </w:t>
      </w:r>
      <w:proofErr w:type="spellStart"/>
      <w:r w:rsidRPr="005E0812">
        <w:rPr>
          <w:rFonts w:ascii="Arial" w:hAnsi="Arial" w:cs="Arial"/>
          <w:color w:val="002060"/>
          <w:sz w:val="24"/>
          <w:szCs w:val="24"/>
        </w:rPr>
        <w:t>nè</w:t>
      </w:r>
      <w:proofErr w:type="spellEnd"/>
      <w:r w:rsidRPr="005E0812">
        <w:rPr>
          <w:rFonts w:ascii="Arial" w:hAnsi="Arial" w:cs="Arial"/>
          <w:color w:val="002060"/>
          <w:sz w:val="24"/>
          <w:szCs w:val="24"/>
        </w:rPr>
        <w:t xml:space="preserve"> di parola </w:t>
      </w:r>
      <w:proofErr w:type="spellStart"/>
      <w:r w:rsidRPr="005E0812">
        <w:rPr>
          <w:rFonts w:ascii="Arial" w:hAnsi="Arial" w:cs="Arial"/>
          <w:color w:val="002060"/>
          <w:sz w:val="24"/>
          <w:szCs w:val="24"/>
        </w:rPr>
        <w:t>nè</w:t>
      </w:r>
      <w:proofErr w:type="spellEnd"/>
      <w:r w:rsidRPr="005E0812">
        <w:rPr>
          <w:rFonts w:ascii="Arial" w:hAnsi="Arial" w:cs="Arial"/>
          <w:color w:val="002060"/>
          <w:sz w:val="24"/>
          <w:szCs w:val="24"/>
        </w:rPr>
        <w:t xml:space="preserve"> di voto attivo e passivo. </w:t>
      </w:r>
      <w:bookmarkStart w:id="0" w:name="_GoBack"/>
      <w:bookmarkEnd w:id="0"/>
      <w:r w:rsidRPr="005E0812">
        <w:rPr>
          <w:rFonts w:ascii="Arial" w:hAnsi="Arial" w:cs="Arial"/>
          <w:color w:val="002060"/>
          <w:sz w:val="24"/>
          <w:szCs w:val="24"/>
        </w:rPr>
        <w:t>Le votazioni dell’Assemblea avverranno, su indicazione della stessa, per alzata di mano, per appello nominale o con voto segreto.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17) All’Assemblea spettano i seguenti compiti: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IN SEDE ORDINARIA:</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•approvare il rendiconto economico-finanziario dell’anno trascorso;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•eleggere il Presidente e il Consiglio Direttivo, stabilendone il numero dei componenti;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•eleggere i sostituti dei membri del Consiglio Direttivo eventualmente dimissionari;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fissare l’importo della quota sociale annuale;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determinare le linee generali programmatiche dell’attività dell’associazione;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approvare il regolamento interno;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deliberare in via definitiva sulle domande di nuove adesione e sulla esclusione dei soci;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•deliberare su ogni altro argomento di carattere ordinario e di interesse generale posto all’ordine del giorno.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IN SEDE STRAORDINARIA:</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•deliberare sulla trasformazione, fusione e scioglimento dell’Associazione;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•deliberare sulle proposte di modifica dello Statuto;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•deliberare su ogni altro argomento di carattere straordinario e di interesse generale posto all’ordine del giorno.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xml:space="preserve">Art. 18) L’Assemblea Ordinaria, presieduta dal Presidente del Consiglio Direttivo il quale nomina fra i soci un segretario verbalizzante, è validamente costituita in prima convocazione con la presenza del 50% più uno dei soci, in seconda convocazione qualunque sia il numero dei soci presenti. L’Assemblea Ordinaria delibera validamente, sia </w:t>
      </w:r>
      <w:r w:rsidRPr="005E0812">
        <w:rPr>
          <w:rFonts w:ascii="Arial" w:hAnsi="Arial" w:cs="Arial"/>
          <w:color w:val="002060"/>
          <w:sz w:val="24"/>
          <w:szCs w:val="24"/>
        </w:rPr>
        <w:lastRenderedPageBreak/>
        <w:t>in prima che in seconda convocazione, con la maggioranza del 50% più uno dei presenti su tutte le questioni poste all’ordine del giorno. Tra la prima e la seconda convocazione deve intercorrere almeno un’ora.</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xml:space="preserve">Art. 19) L’Assemblea Straordinaria è presieduta da un Presidente nominato dall’Assemblea stessa a maggioranza semplice, il quale nomina a sua volta fra i soci un segretario verbalizzante. Per modificare l’atto costitutivo e lo statuto, l’Assemblea Straordinaria è validamente costituita con la presenza di almeno tre quarti degli associati e delibera con la maggioranza del 50% più uno dei </w:t>
      </w:r>
      <w:proofErr w:type="spellStart"/>
      <w:r w:rsidRPr="005E0812">
        <w:rPr>
          <w:rFonts w:ascii="Arial" w:hAnsi="Arial" w:cs="Arial"/>
          <w:color w:val="002060"/>
          <w:sz w:val="24"/>
          <w:szCs w:val="24"/>
        </w:rPr>
        <w:t>presenti.Per</w:t>
      </w:r>
      <w:proofErr w:type="spellEnd"/>
      <w:r w:rsidRPr="005E0812">
        <w:rPr>
          <w:rFonts w:ascii="Arial" w:hAnsi="Arial" w:cs="Arial"/>
          <w:color w:val="002060"/>
          <w:sz w:val="24"/>
          <w:szCs w:val="24"/>
        </w:rPr>
        <w:t xml:space="preserve"> deliberare lo scioglimento dell’Associazione e la devoluzione del patrimonio, occorre il voto favorevole di almeno tre quarti degli associati.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20) Tutte le discussioni, delibere assembleari e i rendiconti, sono riassunte in un verbale redatto dal segretario o, in sua assenza, da altro membro nominato dall’assemblea e sottoscritto dal Presidente, che oltre ad essere debitamente trascritto nel libro dei verbali delle Assemblee dei soci, sono pubblicizzati ai soci con l’esposizione per 5 giorni dopo l’approvazione nella sede dell’Associazione.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Consiglio Direttivo e Presidente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21) Il Consiglio Direttivo è l’Organo esecutivo e gestionale dell’Associazione ed è eletto dall’Assemblea ogni 5 anni. Esso è composto da un minimo di 3  a un massimo di 5 membri, ivi compreso il Presidente che ne è membro di diritto. I membri del Consiglio sono rieleggibili e tutti gli incarichi si intendono a titolo gratuito. Il Consiglio Direttivo può essere revocato dall’Assemblea Soci; esso rimarrà in carica comunque fino all’elezione del nuovo. In caso di dimissioni di un componente del Consiglio Direttivo, viene cooptato il primo dei non eletti. All’interno del Consiglio Direttivo saranno nominati uno o più vice Presidenti ed  un Segretario Al Presidente, che ha la rappresentanza legale dell’Associazione, potranno essere delegati parte dei poteri spettanti al Consiglio Direttivo.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22) Il Consiglio Direttivo è dotato dei più ampi poteri per la gestione ordinaria e straordinaria dell’Associazione. Al Consiglio Direttivo competono in particolare: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•le decisioni inerenti le spese ordinarie e straordinarie, di esercizio e in c/capitale, per la gestione dell’Associazione;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•le decisioni relative alle attività e ai servizi istituzionali, complementari e commerciali da intraprendere per il migliore conseguimento delle finalità istituzionali dell’Associazione;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•le decisioni inerenti la direzione dell’eventuale  personale dipendente e il coordinamento dei collaboratori e dei professionisti di cui si avvale l’Associazione;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•la redazione annuale del rendiconto economico-finanziario da sottoporre all’approvazione dell’Assemblea entro i quattro mesi dalla chiusura dell’esercizio;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•la predisposizione della relazione annuale sulle attività svolte e gli obiettivi raggiunti da sottoporre all’Assemblea;</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lastRenderedPageBreak/>
        <w:t>•la presentazione di un piano programmatico relativo alle attività da svolgere nel nuovo anno sociale;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•la facoltà di nominare, tra i soci esterni al Consiglio, dei delegati allo svolgimento di particolari funzioni stabilite di volta in volta dal Consiglio Direttivo stesso;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•la redazione e approvazione dei Regolamenti Amministrativi e le proposte di modifica dello Statuto da sottoporsi alla successiva approvazione dell’Assemblea;</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•ogni funzione che lo statuto o le leggi non attribuiscano ad altri organi.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xml:space="preserve">Art. 23) Il Consiglio Direttivo si riunisce almeno due volte l’anno ovvero ogni qual volta il Presidente o la maggioranza dei membri lo riterrà necessario. Le convocazioni del Consiglio debbono essere effettuate con avviso scritto da recapitarsi almeno 3 giorni prima della  data della riunione; tale avviso deve contenere l’ordine del giorno, la data, l’orario ed il luogo della seduta. Le riunioni del Consiglio Direttivo sono in unica convocazione, sono valide con la presenza di almeno la maggioranza dei suoi componenti e sono presiedute dal Presidente o, in sua assenza, da un co </w:t>
      </w:r>
      <w:proofErr w:type="spellStart"/>
      <w:r w:rsidRPr="005E0812">
        <w:rPr>
          <w:rFonts w:ascii="Arial" w:hAnsi="Arial" w:cs="Arial"/>
          <w:color w:val="002060"/>
          <w:sz w:val="24"/>
          <w:szCs w:val="24"/>
        </w:rPr>
        <w:t>sigliere</w:t>
      </w:r>
      <w:proofErr w:type="spellEnd"/>
      <w:r w:rsidRPr="005E0812">
        <w:rPr>
          <w:rFonts w:ascii="Arial" w:hAnsi="Arial" w:cs="Arial"/>
          <w:color w:val="002060"/>
          <w:sz w:val="24"/>
          <w:szCs w:val="24"/>
        </w:rPr>
        <w:t xml:space="preserve"> designato dai presenti. In caso di parità di voti prevale il voto del </w:t>
      </w:r>
      <w:proofErr w:type="spellStart"/>
      <w:r w:rsidRPr="005E0812">
        <w:rPr>
          <w:rFonts w:ascii="Arial" w:hAnsi="Arial" w:cs="Arial"/>
          <w:color w:val="002060"/>
          <w:sz w:val="24"/>
          <w:szCs w:val="24"/>
        </w:rPr>
        <w:t>Presidente.Le</w:t>
      </w:r>
      <w:proofErr w:type="spellEnd"/>
      <w:r w:rsidRPr="005E0812">
        <w:rPr>
          <w:rFonts w:ascii="Arial" w:hAnsi="Arial" w:cs="Arial"/>
          <w:color w:val="002060"/>
          <w:sz w:val="24"/>
          <w:szCs w:val="24"/>
        </w:rPr>
        <w:t xml:space="preserve"> sedute e le deliberazioni del Consiglio sono fatte constare da processo verbale sottoscritto dal Presidente e dal Segretario.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Art.24) Il Presidente ha la firma e la rappresentanza legale e giudiziale dell’Associazione. È eletto dall’Assemblea dei soci, insieme ai membri del Consiglio Direttivo, ogni 5 anni. Egli presiede l’Assemblea e il Consiglio Direttivo e ne provvede alla convocazione, vigila sull’esecuzione delle delibere dell’Assemblea e del Consiglio Direttivo e, nei casi di urgenza, può esercitare i poteri del Consiglio Direttivo salvo ratifica da parte di quest’ultimo alla prima riunione utile.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25) Il Vice Presidente coadiuva o sostituisce il Presidente in caso di assenza o impedimento.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26) Il Consiglio Direttivo decade per dimissioni contemporanee della metà più uno dei suoi componenti. In questo caso il Presidente o, in caso di suo impedimento, il Vicepresidente o in subordine il Consigliere più anziano, dovrà convocare l’Assemblea straordinaria entro quindici giorni e da tenersi entro i successivi trenta curando l’ordinaria amministrazione.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Segretario .</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 xml:space="preserve">Art. 27) Il Segretario redige i verbali delle riunioni degli organi sociali e ne cura la tenuta dei relativi libri e registri. Ad egli spetta, altresì, provvedere alle trattative necessarie per l’acquisto dei mezzi e dei servizi di ordinaria amministrazione deliberati dal Consiglio Direttivo e predisporre e conservare i relativi contratti e ordinativi. Il Segretario, temporaneamente impedito, ovvero dimissionario o revocato, può sostituito dal  Vicepresidente o dal Presidente. </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Patrimonio ed esercizio finanziario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lastRenderedPageBreak/>
        <w:t>Art. 28) Il patrimonio dell’Associazione è costituito da:</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•beni mobili ed immobili di proprietà dell’Associazione;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•quote associative e contributi annuali, straordinari e volontari degli associati;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•contributi, erogazioni e lasciti da parte di enti pubblici e privati o persone fisiche;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•proventi, anche di natura commerciale, eventualmente conseguiti dall’Associazione per il perseguimento o il supporto dell’attività istituzionale.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29) All’Associazione è vietato distribuire, anche in modo indiretto, utili o avanzi di gestione, comunque denominati, nonché fondi, riserve o capitale durante la vita dell’associazione stessa, a meno che la destinazione o la distribuzione non siano imposte per legge. L’Associazione ha l’obbligo di impiegare gli utili o gli avanzi di gestione per la realizzazione delle attività istituzionali e di quelle ad esse direttamente connesse ed accessorie.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30) L’anno sociale e l’esercizio finanziario vanno dal 1° gennaio  al 31 dicembre  di ogni anno. Il conto consuntivo contiene tutte le entrate e le spese sostenute dell’associazione relative all’anno trascorso. Il Conto preventivo contiene le previsioni di spesa e di entrata per l’esercizio annuale successivo. Il Consiglio Direttivo dovrà predisporre il rendiconto economico e finanziario  da sottoporre all’approvazione dell’Assemblea almeno 20 giorni prima dell’approvazione, che dovrà avvenire entro quattro mesi dalla chiusura dell’esercizio e cioè entro il 30 aprile dell’anno successivo e potrà essere consultato da ogni associato. Il rendiconto economico finanziario, oltre a fornire una rappresentazione veritiera e corretta della situazione patrimoniale, economica e finanziaria dell’Associazione, con distinzione tra quella attinente all’attività istituzionale e quella relativa alle attività direttamente connesse, deve contenere una sintetica descrizione dei beni, contributi e lasciti ricevuti. Indipendentemente dalla redazione del rendiconto economico finanziario annuale, l’Associazione, per ogni attività occasionale di raccolta pubblica di fondi eseguita in concomitanza di celebrazioni, ricorrenze, o campagne di sensibilizzazione, redige entro quattro mesi dalla chiusura dell’esercizio un apposito e separato rendiconto dal quale devono risultare, anche a mezzo di relazione illustrativa, in modo chiaro e trasparente, le entrate e le spese relative a ciascuna di detta celebrazione, ricorrenza o campagna di sensibilizzazione.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Scioglimento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31) Lo scioglimento dell’Associazione è deliberato dall’Assemblea straordinaria dei soci su proposta del Consiglio Direttivo, la quale nominerà anche i liquidatori. Il patrimonio residuo sarà devoluto ad altre organizzazioni non lucrative di utilità sociale con finalità analoghe, o a fini di pubblica utilità, sentito l’organismo di controllo di cui all’art. 3, comma 190 della legge 23.12.96, n. 662, fatta salva diversa destinazione imposta dalla legge.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Norme finali</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lastRenderedPageBreak/>
        <w:t xml:space="preserve">Art. 32). L’associazione potrà iscriversi agli elenchi di cui all’art. 26 comma 2 </w:t>
      </w:r>
      <w:proofErr w:type="spellStart"/>
      <w:r w:rsidRPr="005E0812">
        <w:rPr>
          <w:rFonts w:ascii="Arial" w:hAnsi="Arial" w:cs="Arial"/>
          <w:color w:val="002060"/>
          <w:sz w:val="24"/>
          <w:szCs w:val="24"/>
        </w:rPr>
        <w:t>lett</w:t>
      </w:r>
      <w:proofErr w:type="spellEnd"/>
      <w:r w:rsidRPr="005E0812">
        <w:rPr>
          <w:rFonts w:ascii="Arial" w:hAnsi="Arial" w:cs="Arial"/>
          <w:color w:val="002060"/>
          <w:sz w:val="24"/>
          <w:szCs w:val="24"/>
        </w:rPr>
        <w:t xml:space="preserve"> b) e comma 3 della legge 125 del 2014, nonché ad altri elenchi </w:t>
      </w:r>
      <w:proofErr w:type="spellStart"/>
      <w:r w:rsidRPr="005E0812">
        <w:rPr>
          <w:rFonts w:ascii="Arial" w:hAnsi="Arial" w:cs="Arial"/>
          <w:color w:val="002060"/>
          <w:sz w:val="24"/>
          <w:szCs w:val="24"/>
        </w:rPr>
        <w:t>similiari</w:t>
      </w:r>
      <w:proofErr w:type="spellEnd"/>
      <w:r w:rsidRPr="005E0812">
        <w:rPr>
          <w:rFonts w:ascii="Arial" w:hAnsi="Arial" w:cs="Arial"/>
          <w:color w:val="002060"/>
          <w:sz w:val="24"/>
          <w:szCs w:val="24"/>
        </w:rPr>
        <w:t xml:space="preserve"> compatibili con l’iscrizione all’elenco delle ONLUS, cui l’associazione primariamente intende appartenere e presentare domanda di iscrizione.</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33) La decisione su qualsiasi controversia che potesse sorgere tra gli associati, o tra costoro e l’associazione o gli organi della stessa, eccetto quelle che per legge non sono compromissibili con arbitri, sarà deferita al giudizio di tre arbitri, di cui due da nominarsi da ciascuna delle parti contendenti, ed il terzo di comune accordo. In caso di mancato accordo, il Consiglio Direttivo incaricherà il presidente del tribunale ove ha sede l’associazione di eseguire la nomina del terzo arbitro.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Art. 35) Per quanto non espressamente previsto dal presente Statuto, si fa riferimento alle vigenti disposizioni legislative in materia.</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Il presente Statuto è stato approvato dai soci fondatori all’Atto Costitutivo.</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______________________________                ________________________________</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______________________________                 ________________________________</w:t>
      </w:r>
    </w:p>
    <w:p w:rsidR="00E75955" w:rsidRPr="005E0812" w:rsidRDefault="00E75955" w:rsidP="008414D0">
      <w:pPr>
        <w:jc w:val="both"/>
        <w:rPr>
          <w:rFonts w:ascii="Arial" w:hAnsi="Arial" w:cs="Arial"/>
          <w:color w:val="002060"/>
          <w:sz w:val="24"/>
          <w:szCs w:val="24"/>
        </w:rPr>
      </w:pPr>
      <w:r w:rsidRPr="005E0812">
        <w:rPr>
          <w:rFonts w:ascii="Arial" w:hAnsi="Arial" w:cs="Arial"/>
          <w:color w:val="002060"/>
          <w:sz w:val="24"/>
          <w:szCs w:val="24"/>
        </w:rPr>
        <w:t>______________________________                _________________________________</w:t>
      </w:r>
    </w:p>
    <w:p w:rsidR="00E75955" w:rsidRDefault="00E75955" w:rsidP="008414D0">
      <w:pPr>
        <w:jc w:val="both"/>
        <w:rPr>
          <w:rFonts w:ascii="Arial" w:hAnsi="Arial" w:cs="Arial"/>
          <w:sz w:val="24"/>
          <w:szCs w:val="24"/>
        </w:rPr>
      </w:pPr>
      <w:r w:rsidRPr="008414D0">
        <w:rPr>
          <w:rFonts w:ascii="Arial" w:hAnsi="Arial" w:cs="Arial"/>
          <w:sz w:val="24"/>
          <w:szCs w:val="24"/>
        </w:rPr>
        <w:t>______________________________               _________________________________</w:t>
      </w:r>
    </w:p>
    <w:p w:rsidR="00C736D9" w:rsidRPr="00C736D9" w:rsidRDefault="00C736D9" w:rsidP="00C736D9">
      <w:pPr>
        <w:jc w:val="both"/>
        <w:rPr>
          <w:rFonts w:ascii="Arial" w:hAnsi="Arial" w:cs="Arial"/>
          <w:sz w:val="24"/>
          <w:szCs w:val="24"/>
        </w:rPr>
      </w:pPr>
      <w:r w:rsidRPr="00C736D9">
        <w:rPr>
          <w:rFonts w:ascii="Arial" w:hAnsi="Arial" w:cs="Arial"/>
          <w:sz w:val="24"/>
          <w:szCs w:val="24"/>
        </w:rPr>
        <w:t>______________________________                ________________________________</w:t>
      </w:r>
    </w:p>
    <w:p w:rsidR="00C736D9" w:rsidRPr="00C736D9" w:rsidRDefault="00C736D9" w:rsidP="00C736D9">
      <w:pPr>
        <w:jc w:val="both"/>
        <w:rPr>
          <w:rFonts w:ascii="Arial" w:hAnsi="Arial" w:cs="Arial"/>
          <w:sz w:val="24"/>
          <w:szCs w:val="24"/>
        </w:rPr>
      </w:pPr>
      <w:r w:rsidRPr="00C736D9">
        <w:rPr>
          <w:rFonts w:ascii="Arial" w:hAnsi="Arial" w:cs="Arial"/>
          <w:sz w:val="24"/>
          <w:szCs w:val="24"/>
        </w:rPr>
        <w:t>______________________________                 ________________________________</w:t>
      </w:r>
    </w:p>
    <w:p w:rsidR="00C736D9" w:rsidRPr="00C736D9" w:rsidRDefault="00C736D9" w:rsidP="00C736D9">
      <w:pPr>
        <w:jc w:val="both"/>
        <w:rPr>
          <w:rFonts w:ascii="Arial" w:hAnsi="Arial" w:cs="Arial"/>
          <w:sz w:val="24"/>
          <w:szCs w:val="24"/>
        </w:rPr>
      </w:pPr>
      <w:r w:rsidRPr="00C736D9">
        <w:rPr>
          <w:rFonts w:ascii="Arial" w:hAnsi="Arial" w:cs="Arial"/>
          <w:sz w:val="24"/>
          <w:szCs w:val="24"/>
        </w:rPr>
        <w:t>______________________________                _________________________________</w:t>
      </w:r>
    </w:p>
    <w:p w:rsidR="00C736D9" w:rsidRPr="00C736D9" w:rsidRDefault="00C736D9" w:rsidP="00C736D9">
      <w:pPr>
        <w:jc w:val="both"/>
        <w:rPr>
          <w:rFonts w:ascii="Arial" w:hAnsi="Arial" w:cs="Arial"/>
          <w:sz w:val="24"/>
          <w:szCs w:val="24"/>
        </w:rPr>
      </w:pPr>
    </w:p>
    <w:sectPr w:rsidR="00C736D9" w:rsidRPr="00C736D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79B" w:rsidRDefault="00CD779B" w:rsidP="008414D0">
      <w:pPr>
        <w:spacing w:after="0" w:line="240" w:lineRule="auto"/>
      </w:pPr>
      <w:r>
        <w:separator/>
      </w:r>
    </w:p>
  </w:endnote>
  <w:endnote w:type="continuationSeparator" w:id="0">
    <w:p w:rsidR="00CD779B" w:rsidRDefault="00CD779B" w:rsidP="008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D0" w:rsidRDefault="008414D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751890"/>
      <w:docPartObj>
        <w:docPartGallery w:val="Page Numbers (Bottom of Page)"/>
        <w:docPartUnique/>
      </w:docPartObj>
    </w:sdtPr>
    <w:sdtEndPr/>
    <w:sdtContent>
      <w:p w:rsidR="008414D0" w:rsidRDefault="008414D0">
        <w:pPr>
          <w:pStyle w:val="Pidipagina"/>
          <w:jc w:val="center"/>
        </w:pPr>
        <w:r>
          <w:fldChar w:fldCharType="begin"/>
        </w:r>
        <w:r>
          <w:instrText>PAGE   \* MERGEFORMAT</w:instrText>
        </w:r>
        <w:r>
          <w:fldChar w:fldCharType="separate"/>
        </w:r>
        <w:r w:rsidR="00EE7C8E">
          <w:rPr>
            <w:noProof/>
          </w:rPr>
          <w:t>8</w:t>
        </w:r>
        <w:r>
          <w:fldChar w:fldCharType="end"/>
        </w:r>
      </w:p>
    </w:sdtContent>
  </w:sdt>
  <w:p w:rsidR="008414D0" w:rsidRDefault="008414D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D0" w:rsidRDefault="008414D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79B" w:rsidRDefault="00CD779B" w:rsidP="008414D0">
      <w:pPr>
        <w:spacing w:after="0" w:line="240" w:lineRule="auto"/>
      </w:pPr>
      <w:r>
        <w:separator/>
      </w:r>
    </w:p>
  </w:footnote>
  <w:footnote w:type="continuationSeparator" w:id="0">
    <w:p w:rsidR="00CD779B" w:rsidRDefault="00CD779B" w:rsidP="008414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D0" w:rsidRDefault="008414D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D0" w:rsidRDefault="008414D0">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4D0" w:rsidRDefault="008414D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955"/>
    <w:rsid w:val="00054F14"/>
    <w:rsid w:val="00070739"/>
    <w:rsid w:val="000D299A"/>
    <w:rsid w:val="002A5440"/>
    <w:rsid w:val="00384459"/>
    <w:rsid w:val="00386BB0"/>
    <w:rsid w:val="003E0921"/>
    <w:rsid w:val="0051392C"/>
    <w:rsid w:val="005E0812"/>
    <w:rsid w:val="006102CA"/>
    <w:rsid w:val="00687CB9"/>
    <w:rsid w:val="00773F17"/>
    <w:rsid w:val="00786E9E"/>
    <w:rsid w:val="007B4DF0"/>
    <w:rsid w:val="007C13C0"/>
    <w:rsid w:val="008414D0"/>
    <w:rsid w:val="00944D9A"/>
    <w:rsid w:val="00A00675"/>
    <w:rsid w:val="00A0107D"/>
    <w:rsid w:val="00BB49AC"/>
    <w:rsid w:val="00C736D9"/>
    <w:rsid w:val="00CD779B"/>
    <w:rsid w:val="00D82E86"/>
    <w:rsid w:val="00E75955"/>
    <w:rsid w:val="00E92D79"/>
    <w:rsid w:val="00EA0240"/>
    <w:rsid w:val="00EE7C8E"/>
    <w:rsid w:val="00F35A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759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5955"/>
    <w:rPr>
      <w:rFonts w:ascii="Tahoma" w:hAnsi="Tahoma" w:cs="Tahoma"/>
      <w:sz w:val="16"/>
      <w:szCs w:val="16"/>
    </w:rPr>
  </w:style>
  <w:style w:type="paragraph" w:styleId="Intestazione">
    <w:name w:val="header"/>
    <w:basedOn w:val="Normale"/>
    <w:link w:val="IntestazioneCarattere"/>
    <w:uiPriority w:val="99"/>
    <w:unhideWhenUsed/>
    <w:rsid w:val="008414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14D0"/>
  </w:style>
  <w:style w:type="paragraph" w:styleId="Pidipagina">
    <w:name w:val="footer"/>
    <w:basedOn w:val="Normale"/>
    <w:link w:val="PidipaginaCarattere"/>
    <w:uiPriority w:val="99"/>
    <w:unhideWhenUsed/>
    <w:rsid w:val="008414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14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7595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5955"/>
    <w:rPr>
      <w:rFonts w:ascii="Tahoma" w:hAnsi="Tahoma" w:cs="Tahoma"/>
      <w:sz w:val="16"/>
      <w:szCs w:val="16"/>
    </w:rPr>
  </w:style>
  <w:style w:type="paragraph" w:styleId="Intestazione">
    <w:name w:val="header"/>
    <w:basedOn w:val="Normale"/>
    <w:link w:val="IntestazioneCarattere"/>
    <w:uiPriority w:val="99"/>
    <w:unhideWhenUsed/>
    <w:rsid w:val="008414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14D0"/>
  </w:style>
  <w:style w:type="paragraph" w:styleId="Pidipagina">
    <w:name w:val="footer"/>
    <w:basedOn w:val="Normale"/>
    <w:link w:val="PidipaginaCarattere"/>
    <w:uiPriority w:val="99"/>
    <w:unhideWhenUsed/>
    <w:rsid w:val="008414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2911</Words>
  <Characters>16598</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PISA</dc:creator>
  <cp:lastModifiedBy>DI PISA</cp:lastModifiedBy>
  <cp:revision>3</cp:revision>
  <cp:lastPrinted>2017-06-01T16:58:00Z</cp:lastPrinted>
  <dcterms:created xsi:type="dcterms:W3CDTF">2017-08-03T16:53:00Z</dcterms:created>
  <dcterms:modified xsi:type="dcterms:W3CDTF">2018-12-27T09:24:00Z</dcterms:modified>
</cp:coreProperties>
</file>